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97</w:t>
      </w:r>
    </w:p>
    <w:p>
      <w:r>
        <w:t>Bundesgericht (BGE), 1985-08-19, DE</w:t>
      </w:r>
    </w:p>
    <w:p>
      <w:r>
        <w:rPr>
          <w:b/>
        </w:rPr>
        <w:t xml:space="preserve">Quelle: </w:t>
      </w:r>
      <w:r>
        <w:t>https://mcp.opencaselaw.ch/entscheid/bge_111 IV 97</w:t>
      </w:r>
    </w:p>
    <w:p>
      <w:r>
        <w:t>FR: ATF 111 IV 97</w:t>
      </w:r>
    </w:p>
    <w:p>
      <w:r>
        <w:t>IT: DTF 111 IV 97</w:t>
      </w:r>
    </w:p>
    <w:p>
      <w:pPr>
        <w:pStyle w:val="Heading2"/>
      </w:pPr>
      <w:r>
        <w:t>Regeste</w:t>
      </w:r>
    </w:p>
    <w:p>
      <w:r>
        <w:t>Regeste Art. 15 Abs. 1 ARV; Bedienung des Fahrtenschreibers. Der berufsmässige Lastwagenchauffeur darf während der Beladearbeiten den Fahrtenschreiber nicht auf "Ruhezeit" schalten, wenn er anwesend sein muss, um bei allfälligen Schwierigkeiten jederzeit und rasch einschreiten zu können.</w:t>
      </w:r>
    </w:p>
    <w:p>
      <w:pPr>
        <w:pStyle w:val="Heading2"/>
      </w:pPr>
      <w:r>
        <w:t>Erwägungen</w:t>
      </w:r>
    </w:p>
    <w:p>
      <w:r>
        <w:rPr>
          <w:b/>
        </w:rPr>
        <w:t>E. 2</w:t>
      </w:r>
    </w:p>
    <w:p>
      <w:r>
        <w:t>a) Der Beschwerdeführer transportierte Sägemehl, welches durch ein Gebläse aus dem Lager der Sägerei gesogen und auf den Lastwagen geblasen wurde. Er vertritt die Ansicht, dass er während des Ladevorganges keinerlei Arbeit zu leisten habe und dabei "vielleicht durchaus" in der Kabine des Lastwagens sitze; das heisse aber nicht, dass er dabei nicht Pause machen oder gar irgendwelche andere Arbeiten verrichten würde. Im übrigen hatte er im kantonalen Verfahren ausgeführt, er müsse nur dann eingreifen, wenn es mit dem Gebläsemotor Schwierigkeiten gebe. b) Als Arbeitszeit im Sinne des Gesetzes gilt auch die blosse Präsenzzeit ( Art. 2 Abs. 2 lit. e ARV ), deren Merkmal darin besteht, dass der Arbeitnehmer anwesend sein muss, jedoch - im Unterschied zu den Pausen - in der Gestaltung der Wartezeit nicht frei ist (Bundesamt für Polizeiwesen (BAP), Wegleitung zur ARV, 1982, S. 4). Die Vorinstanz ist der Auffassung, gemäss Art. 73 VRV sei der Fahrzeugführer u.a. auch für die Ladung verantwortlich und somit verpflichtet, das Beladen zu überwachen; deshalb könne diese Zeit im Sinne von Art. 8 Abs. 5 ARV nicht als Pause angerechnet werden. Ob diese Meinung zutrifft, kann offen bleiben. Der Beschwerdeführer hatte nach den eigenen, unwidersprochenen Aussagen jeweils dann einzugreifen, wenn es Schwierigkeiten mit dem Gebläsemotor gab. Er musste also im oder beim Lastwagen bereit sein, um gegebenenfalls auftretende Unregelmässigkeiten bei diesem Motor sofort beheben helfen zu können. Ähnlich wie bei der Wartezeit des Taxichauffeurs auf dem Standplatz (BAP, a.a.O. S. 4) handelt es sich auch hier um einen typischen Fall von Präsenzzeit, bei deren Gestaltung der Arbeitnehmer nicht frei ist. Es besteht denn auch ein wesentlicher Unterschied zur Situation eines BGE 111 IV 97 S. 99 Carchauffeurs, der auf die Rückfahrt der Fahrgäste warten muss. Dieser verabredet mit seinen Passagieren einen Zeitpunkt und kann die dazwischenliegende Zeit z.B. mit einem Restaurantbesuch, Spazierengehen oder auch Schlafen ausfüllen. Der Beschwerdeführer musste demgegenüber bei auftretenden Schwierigkeiten jederzeit und rasch einschreiten können. Indem er unter diesen Umständen den Fahrtenschreiber auf "Ruhezeit" schaltete, verstiess er gegen Art. 15 Abs. 1 ARV .</w:t>
      </w:r>
    </w:p>
    <w:p>
      <w:r>
        <w:rPr>
          <w:b/>
        </w:rPr>
        <w:t>E. 3</w:t>
      </w:r>
    </w:p>
    <w:p>
      <w:r>
        <w:t>Der Beschwerdeführer macht eventualiter geltend, er habe mit Rechtsirrtum gehandelt, da die zitierte Wegleitung des BAP nur den Schluss zulasse, die inkriminierte Wartezeit sei als Pause aufzufassen. Dieser Einwand ist nicht stichhaltig. In der genannten Wegleitung wird z.B. schon die Wartezeit eines Taxifahrers ausdrücklich als Arbeitszeit aufgeführt; ebenso ist nach den dortigen Erörterungen die Wartezeit des Carchauffeurs dann Arbeitszeit, wenn dieser gewisse Aufgaben (z.B. Heizen des Wagens) wahrnehmen muss (BAP, a.a.O. S. 4). Diese Ausführungen lassen keineswegs die Meinung entstehen, ein Lastwagenchauffeur, der bei den Beladearbeiten zur Verfügung stehen muss, um allenfalls einen Gebläsemotor in Ordnung bringen zu helfen, pausiere während dieser 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